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民权县褚庙乡直新型墙体材料厂清洁生产审核结果公示</w:t>
      </w:r>
    </w:p>
    <w:p>
      <w:pPr>
        <w:pStyle w:val="4"/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民权县褚庙乡直新型墙体材料厂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位于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商丘市民权县褚庙乡孙庄村西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，占地面积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13340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平方米，公司于201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年1月委托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东方环宇环保科技发展有限公司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编制《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民权县褚庙乡直新型墙体材料厂年产6000万块煤矸石烧结砖项目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环境影响报告表》，要建设内容为：干燥焙烧隧道窑（项目采用单条隧道窑含两个干燥焙烧窑体）、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煤矸石库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、破碎车间、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隧道窑废气处理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设施、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陈化库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、成型车间、办公用房等，主要生产工艺为：原料处理——配料搅拌——原料陈化及二次搅拌——成型及切码——干燥及焙烧——成品。原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民权县环境保护局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于201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日对该项目以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环审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〔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7〕字35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号予以批复。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公司于2019年7月完成自行验收。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根据河南省发展和改革委员会、河南省环境保护厅关于印发《河南省清洁生产审核实施细则》的通知（豫发改环资【2018】161号）文件要求，对企业本轮审核结果进行公示。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本轮清洁生产审核历时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个月，共产生清洁生产方案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个，经过认真研究、比较、筛选，确认可行方案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个；可行的方案中基本不需要经济投资或投资额较小的无/低费方案有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个，投资比较大的中/高费方案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，持续清洁生产方案1个。通过所有清洁生产方案的实施，企业主要能源指标和污染物排放指标均得到优化，企业整体清洁生产水平提高，审核后企业清洁生产水平处于国内一般水平。清洁生产审核成效显著，为企业带来了环境效益、经济效益和社会效益。本轮清洁生产审核产生可行的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个方案，截至报告完成时，方案已经全部实施完成，实施完成率达到100%，已经实施的方案总投资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424.9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万元。方案实施后产生的效益汇总如下表。</w:t>
      </w:r>
    </w:p>
    <w:tbl>
      <w:tblPr>
        <w:tblStyle w:val="5"/>
        <w:tblW w:w="50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37"/>
        <w:gridCol w:w="1200"/>
        <w:gridCol w:w="1497"/>
        <w:gridCol w:w="1219"/>
        <w:gridCol w:w="2653"/>
        <w:gridCol w:w="2839"/>
        <w:gridCol w:w="170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数量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投资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实施期间实际取得的经济效益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年度经济效益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实施期间实际取得的环境效益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年度环境效益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年度效益核算的具体说明方法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highlight w:val="none"/>
                <w:u w:val="none"/>
              </w:rPr>
              <w:t>企业生产是否有大小月（淡旺季）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无低费方案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4.9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5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7.515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4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7.515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节电量1.3万kWh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节电量1.3万kWh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根据方案实施的时间长短及审核期间在全年中占比例进行计算，污染物减排量根据第三方检测报告计算</w:t>
            </w:r>
            <w:bookmarkStart w:id="0" w:name="_GoBack"/>
            <w:bookmarkEnd w:id="0"/>
          </w:p>
        </w:tc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企业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eastAsia="zh-CN"/>
              </w:rPr>
              <w:t>年有效工作日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240d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节约用水：500t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节约用水：500t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节约用煤矸石：96t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节约用煤矸石：96t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减少颗粒物排放量：0.09t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减少颗粒物排放量：0.09t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产生量：1.684t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产生量：1.684t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中高费方案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  <w:lang w:val="en-US" w:eastAsia="zh-CN"/>
              </w:rPr>
              <w:t>420</w:t>
            </w: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减少颗粒物排放量：3.35t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减少SO2产生量：9.327t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减少颗粒物排放量：3.35t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减少SO2产生量：9.327t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汇总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  <w:lang w:val="en-US" w:eastAsia="zh-CN"/>
              </w:rPr>
              <w:t>424.9</w:t>
            </w: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5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7.515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4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7.515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</w:rPr>
              <w:t>万元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节电量1.3万kWh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节电量1.3万kWh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节约用水：500t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节约用水：500t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节约用煤矸石：96t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节约用煤矸石：96t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产生量：11.01t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减少SO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产生量：11.01t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减少颗粒物排放量：3.44t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u w:val="none"/>
                <w:lang w:val="en-US" w:eastAsia="zh-CN"/>
              </w:rPr>
              <w:t>减少颗粒物排放量：3.44t</w:t>
            </w:r>
          </w:p>
        </w:tc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VkZjhjZTM1ZjljNDVkNmZmYjVkYjIxYmYxMDAifQ=="/>
  </w:docVars>
  <w:rsids>
    <w:rsidRoot w:val="00000000"/>
    <w:rsid w:val="167E1999"/>
    <w:rsid w:val="1AE16539"/>
    <w:rsid w:val="1F9C6A9E"/>
    <w:rsid w:val="2CF9108B"/>
    <w:rsid w:val="32867825"/>
    <w:rsid w:val="37F32BD3"/>
    <w:rsid w:val="3B011370"/>
    <w:rsid w:val="3B442B59"/>
    <w:rsid w:val="402F08B6"/>
    <w:rsid w:val="5DC03FA9"/>
    <w:rsid w:val="5ED66E79"/>
    <w:rsid w:val="615D71C1"/>
    <w:rsid w:val="677A01F3"/>
    <w:rsid w:val="783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-缩进"/>
    <w:basedOn w:val="1"/>
    <w:qFormat/>
    <w:uiPriority w:val="0"/>
    <w:pPr>
      <w:spacing w:after="60"/>
      <w:ind w:firstLine="200" w:firstLineChars="200"/>
    </w:p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 w:val="21"/>
      <w:szCs w:val="24"/>
    </w:rPr>
  </w:style>
  <w:style w:type="paragraph" w:styleId="4">
    <w:name w:val="Body Text"/>
    <w:basedOn w:val="1"/>
    <w:qFormat/>
    <w:uiPriority w:val="0"/>
    <w:pPr>
      <w:spacing w:line="500" w:lineRule="exact"/>
    </w:pPr>
    <w:rPr>
      <w:rFonts w:ascii="仿宋_GB2312" w:hAnsi="Times New Roman" w:eastAsia="楷体_GB2312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1374</Characters>
  <Lines>0</Lines>
  <Paragraphs>0</Paragraphs>
  <TotalTime>2</TotalTime>
  <ScaleCrop>false</ScaleCrop>
  <LinksUpToDate>false</LinksUpToDate>
  <CharactersWithSpaces>1374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zyt</cp:lastModifiedBy>
  <dcterms:modified xsi:type="dcterms:W3CDTF">2023-04-17T07:53:01Z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7CE1BDBEE45B4419B4BC17736C60D657</vt:lpwstr>
  </property>
</Properties>
</file>